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D4F7B"/>
          <w:sz w:val="36"/>
        </w:rPr>
        <w:t>MODÈLE DE FICHE DE CHUTE EHPAD</w:t>
      </w:r>
    </w:p>
    <w:p>
      <w:pPr>
        <w:jc w:val="center"/>
      </w:pPr>
      <w:r>
        <w:rPr>
          <w:i/>
          <w:color w:val="5A545C"/>
          <w:sz w:val="18"/>
        </w:rPr>
        <w:t>Document opérationnel à adapter à la procédure interne, au dossier résident et aux outils qualité de l’établissement.</w:t>
      </w:r>
    </w:p>
    <w:p>
      <w:pPr>
        <w:spacing w:before="200" w:after="80"/>
      </w:pPr>
      <w:r>
        <w:rPr>
          <w:b/>
          <w:color w:val="7D4F7B"/>
          <w:sz w:val="26"/>
        </w:rPr>
        <w:t>1. Identification du résident et de l’événement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Nom / prénom du résident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Date de naissance / âge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GIR / niveau d’autonomie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Date et heure de la chute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Lieu précis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Chambre / salle de bain / couloir / salle commune / extérieur / autre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Professionnel ayant découvert la chute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Chute avec témoin ?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Oui / Non / Ne sait pas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Dernière observation connue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Heure, professionnel, situation observée :</w:t>
            </w:r>
          </w:p>
        </w:tc>
      </w:tr>
    </w:tbl>
    <w:p>
      <w:pPr>
        <w:spacing w:after="20"/>
      </w:pPr>
    </w:p>
    <w:p>
      <w:pPr>
        <w:spacing w:before="200" w:after="80"/>
      </w:pPr>
      <w:r>
        <w:rPr>
          <w:b/>
          <w:color w:val="7D4F7B"/>
          <w:sz w:val="26"/>
        </w:rPr>
        <w:t>2. Circonstances observées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Position retrouvée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Au sol / assis / contre un meuble / autre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Activité supposée ou observée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Lever / transfert / toilette / déplacement / repas / nuit / autre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Appel malade déclenché ?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Oui / Non / Impossible / Non applicable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Aide technique utilisée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Canne / déambulateur / fauteuil / lève-personne / aucune / autre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Environnement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Sol sec / sol humide / obstacle / éclairage insuffisant / mobilier / chaussage / autre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Éléments factuels à noter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Décrire uniquement ce qui est vu, entendu ou mesuré, sans supposition ni jugement.</w:t>
            </w:r>
          </w:p>
        </w:tc>
      </w:tr>
    </w:tbl>
    <w:p>
      <w:pPr>
        <w:spacing w:after="20"/>
      </w:pPr>
    </w:p>
    <w:p>
      <w:pPr>
        <w:spacing w:before="200" w:after="80"/>
      </w:pPr>
      <w:r>
        <w:rPr>
          <w:b/>
          <w:color w:val="7D4F7B"/>
          <w:sz w:val="26"/>
        </w:rPr>
        <w:t>3. Constatations immédiates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État de conscience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Normal / confusion / somnolence / perte de connaissance suspectée / autre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Douleur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Non / Oui — localisation, intensité, évolution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Plaie / saignement / ecchymose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Non / Oui — localisation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Déformation / suspicion fracture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Non / Oui — préciser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Traumatisme crânien suspecté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Non / Oui / Ne sait pas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Mobilité après évaluation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Appui possible / appui impossible / mobilisation différée / autre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Signes inhabituels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Vomissements, céphalées, déficit, détresse respiratoire, anxiété, plainte :</w:t>
            </w:r>
          </w:p>
        </w:tc>
      </w:tr>
    </w:tbl>
    <w:p>
      <w:pPr>
        <w:spacing w:after="20"/>
      </w:pPr>
    </w:p>
    <w:p>
      <w:pPr>
        <w:spacing w:before="200" w:after="80"/>
      </w:pPr>
      <w:r>
        <w:rPr>
          <w:b/>
          <w:color w:val="7D4F7B"/>
          <w:sz w:val="26"/>
        </w:rPr>
        <w:t>4. Actions immédiates réalisées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Zone sécurisée / résident rassuré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Oui / Non — préciser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Mobilisation ou relevage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Non / Oui — par qui, à quelle heure, avec quelle aide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Professionnels alertés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AS / IDE / IDEC / médecin coordonnateur / médecin traitant / SAMU / autre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Soins réalisés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Surveillance mise en place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Fréquence, durée, points surveillés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Transfert / avis médical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Non / Oui — destination, heure, décision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Personne informée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Résident / personne de confiance / représentant légal / proche autorisé / autre :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00" w:after="80"/>
      </w:pPr>
      <w:r>
        <w:rPr>
          <w:b/>
          <w:color w:val="7D4F7B"/>
          <w:sz w:val="26"/>
        </w:rPr>
        <w:t>5. Classification interne de la gravité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  <w:shd w:fill="926190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Niveau</w:t>
            </w:r>
          </w:p>
        </w:tc>
        <w:tc>
          <w:tcPr>
            <w:tcW w:type="dxa" w:w="2613"/>
            <w:shd w:fill="926190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Critères observés</w:t>
            </w:r>
          </w:p>
        </w:tc>
        <w:tc>
          <w:tcPr>
            <w:tcW w:type="dxa" w:w="2613"/>
            <w:shd w:fill="926190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Décision / suite</w:t>
            </w:r>
          </w:p>
        </w:tc>
        <w:tc>
          <w:tcPr>
            <w:tcW w:type="dxa" w:w="2613"/>
            <w:shd w:fill="926190"/>
          </w:tcPr>
          <w:p>
            <w:pPr>
              <w:spacing w:after="0"/>
            </w:pPr>
            <w:r/>
            <w:r>
              <w:rPr>
                <w:b/>
                <w:color w:val="FFFFFF"/>
                <w:sz w:val="16"/>
              </w:rPr>
              <w:t>Coche</w:t>
            </w:r>
          </w:p>
        </w:tc>
      </w:tr>
      <w:tr>
        <w:tc>
          <w:tcPr>
            <w:tcW w:type="dxa" w:w="2613"/>
          </w:tcPr>
          <w:p>
            <w:pPr>
              <w:spacing w:after="0"/>
            </w:pPr>
            <w:r/>
            <w:r>
              <w:rPr>
                <w:b/>
                <w:color w:val="7D4F7B"/>
                <w:sz w:val="16"/>
              </w:rPr>
              <w:t>Sans lésion apparente</w:t>
            </w:r>
          </w:p>
        </w:tc>
        <w:tc>
          <w:tcPr>
            <w:tcW w:type="dxa" w:w="2613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Aucune douleur persistante, pas de déficit observé.</w:t>
            </w:r>
          </w:p>
        </w:tc>
        <w:tc>
          <w:tcPr>
            <w:tcW w:type="dxa" w:w="2613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Traçabilité, surveillance adaptée, analyse du risque.</w:t>
            </w:r>
          </w:p>
        </w:tc>
        <w:tc>
          <w:tcPr>
            <w:tcW w:type="dxa" w:w="2613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☐</w:t>
            </w:r>
          </w:p>
        </w:tc>
      </w:tr>
      <w:tr>
        <w:tc>
          <w:tcPr>
            <w:tcW w:type="dxa" w:w="2613"/>
          </w:tcPr>
          <w:p>
            <w:pPr>
              <w:spacing w:after="0"/>
            </w:pPr>
            <w:r/>
            <w:r>
              <w:rPr>
                <w:b/>
                <w:color w:val="7D4F7B"/>
                <w:sz w:val="16"/>
              </w:rPr>
              <w:t>Atteinte mineure</w:t>
            </w:r>
          </w:p>
        </w:tc>
        <w:tc>
          <w:tcPr>
            <w:tcW w:type="dxa" w:w="2613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Plaie superficielle, ecchymose, douleur légère, gêne transitoire.</w:t>
            </w:r>
          </w:p>
        </w:tc>
        <w:tc>
          <w:tcPr>
            <w:tcW w:type="dxa" w:w="2613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Soins, surveillance renforcée, avis selon contexte.</w:t>
            </w:r>
          </w:p>
        </w:tc>
        <w:tc>
          <w:tcPr>
            <w:tcW w:type="dxa" w:w="2613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☐</w:t>
            </w:r>
          </w:p>
        </w:tc>
      </w:tr>
      <w:tr>
        <w:tc>
          <w:tcPr>
            <w:tcW w:type="dxa" w:w="2613"/>
          </w:tcPr>
          <w:p>
            <w:pPr>
              <w:spacing w:after="0"/>
            </w:pPr>
            <w:r/>
            <w:r>
              <w:rPr>
                <w:b/>
                <w:color w:val="7D4F7B"/>
                <w:sz w:val="16"/>
              </w:rPr>
              <w:t>Grave ou potentiellement grave</w:t>
            </w:r>
          </w:p>
        </w:tc>
        <w:tc>
          <w:tcPr>
            <w:tcW w:type="dxa" w:w="2613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Traumatisme crânien, douleur intense, fracture suspectée, déficit, détresse, perte de connaissance.</w:t>
            </w:r>
          </w:p>
        </w:tc>
        <w:tc>
          <w:tcPr>
            <w:tcW w:type="dxa" w:w="2613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Avis médical urgent, mobilisation prudente, analyse approfondie.</w:t>
            </w:r>
          </w:p>
        </w:tc>
        <w:tc>
          <w:tcPr>
            <w:tcW w:type="dxa" w:w="2613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☐</w:t>
            </w:r>
          </w:p>
        </w:tc>
      </w:tr>
    </w:tbl>
    <w:p/>
    <w:p>
      <w:pPr>
        <w:spacing w:before="200" w:after="80"/>
      </w:pPr>
      <w:r>
        <w:rPr>
          <w:b/>
          <w:color w:val="7D4F7B"/>
          <w:sz w:val="26"/>
        </w:rPr>
        <w:t>6. Analyse des causes possibles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F4EDF4"/>
          </w:tcPr>
          <w:p>
            <w:pPr>
              <w:spacing w:after="0"/>
            </w:pPr>
            <w:r/>
            <w:r>
              <w:rPr>
                <w:b/>
                <w:color w:val="17151A"/>
                <w:sz w:val="16"/>
              </w:rPr>
              <w:t>Famille de facteurs</w:t>
            </w:r>
          </w:p>
        </w:tc>
        <w:tc>
          <w:tcPr>
            <w:tcW w:type="dxa" w:w="3485"/>
            <w:shd w:fill="F4EDF4"/>
          </w:tcPr>
          <w:p>
            <w:pPr>
              <w:spacing w:after="0"/>
            </w:pPr>
            <w:r/>
            <w:r>
              <w:rPr>
                <w:b/>
                <w:color w:val="17151A"/>
                <w:sz w:val="16"/>
              </w:rPr>
              <w:t>Éléments à vérifier</w:t>
            </w:r>
          </w:p>
        </w:tc>
        <w:tc>
          <w:tcPr>
            <w:tcW w:type="dxa" w:w="3485"/>
            <w:shd w:fill="F4EDF4"/>
          </w:tcPr>
          <w:p>
            <w:pPr>
              <w:spacing w:after="0"/>
            </w:pPr>
            <w:r/>
            <w:r>
              <w:rPr>
                <w:b/>
                <w:color w:val="17151A"/>
                <w:sz w:val="16"/>
              </w:rPr>
              <w:t>Constats / actions</w:t>
            </w:r>
          </w:p>
        </w:tc>
      </w:tr>
      <w:tr>
        <w:tc>
          <w:tcPr>
            <w:tcW w:type="dxa" w:w="3485"/>
          </w:tcPr>
          <w:p>
            <w:pPr>
              <w:spacing w:after="0"/>
            </w:pPr>
            <w:r/>
            <w:r>
              <w:rPr>
                <w:b/>
                <w:color w:val="7D4F7B"/>
                <w:sz w:val="16"/>
              </w:rPr>
              <w:t>Résident</w:t>
            </w:r>
          </w:p>
        </w:tc>
        <w:tc>
          <w:tcPr>
            <w:tcW w:type="dxa" w:w="3485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Équilibre, cognition, douleur, fatigue, nutrition, hydratation, traitements.</w:t>
            </w:r>
          </w:p>
        </w:tc>
        <w:tc>
          <w:tcPr>
            <w:tcW w:type="dxa" w:w="3485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3485"/>
          </w:tcPr>
          <w:p>
            <w:pPr>
              <w:spacing w:after="0"/>
            </w:pPr>
            <w:r/>
            <w:r>
              <w:rPr>
                <w:b/>
                <w:color w:val="7D4F7B"/>
                <w:sz w:val="16"/>
              </w:rPr>
              <w:t>Environnement</w:t>
            </w:r>
          </w:p>
        </w:tc>
        <w:tc>
          <w:tcPr>
            <w:tcW w:type="dxa" w:w="3485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Éclairage, sol, obstacles, mobilier, sanitaires, hauteur du lit, chaussage.</w:t>
            </w:r>
          </w:p>
        </w:tc>
        <w:tc>
          <w:tcPr>
            <w:tcW w:type="dxa" w:w="3485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3485"/>
          </w:tcPr>
          <w:p>
            <w:pPr>
              <w:spacing w:after="0"/>
            </w:pPr>
            <w:r/>
            <w:r>
              <w:rPr>
                <w:b/>
                <w:color w:val="7D4F7B"/>
                <w:sz w:val="16"/>
              </w:rPr>
              <w:t>Organisation</w:t>
            </w:r>
          </w:p>
        </w:tc>
        <w:tc>
          <w:tcPr>
            <w:tcW w:type="dxa" w:w="3485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Horaires, passages, transmissions, accompagnement, période jour/nuit.</w:t>
            </w:r>
          </w:p>
        </w:tc>
        <w:tc>
          <w:tcPr>
            <w:tcW w:type="dxa" w:w="3485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3485"/>
          </w:tcPr>
          <w:p>
            <w:pPr>
              <w:spacing w:after="0"/>
            </w:pPr>
            <w:r/>
            <w:r>
              <w:rPr>
                <w:b/>
                <w:color w:val="7D4F7B"/>
                <w:sz w:val="16"/>
              </w:rPr>
              <w:t>Technique</w:t>
            </w:r>
          </w:p>
        </w:tc>
        <w:tc>
          <w:tcPr>
            <w:tcW w:type="dxa" w:w="3485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  <w:t>Appel malade, détecteur, aide technique, maintenance, accessibilité.</w:t>
            </w:r>
          </w:p>
        </w:tc>
        <w:tc>
          <w:tcPr>
            <w:tcW w:type="dxa" w:w="3485"/>
          </w:tcPr>
          <w:p>
            <w:pPr>
              <w:spacing w:after="0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spacing w:before="200" w:after="80"/>
      </w:pPr>
      <w:r>
        <w:rPr>
          <w:b/>
          <w:color w:val="7D4F7B"/>
          <w:sz w:val="26"/>
        </w:rPr>
        <w:t>7. Plan d’action et prévention de la récidive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Risque de chute réévalué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Oui / Non — outil utilisé, date, professionnel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Projet personnalisé mis à jour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Oui / Non / À programmer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Actions environnementales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Éclairage, mobilier, chemin lit-toilettes, obstacles, aide technique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Actions soignantes / rééducation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Surveillance, kinésithérapie, aide au lever, accompagnement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Actions organisationnelles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Transmission, passage de nuit, consignes équipe, commission chute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Responsable du suivi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Date de réévaluation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200" w:after="80"/>
      </w:pPr>
      <w:r>
        <w:rPr>
          <w:b/>
          <w:color w:val="7D4F7B"/>
          <w:sz w:val="26"/>
        </w:rPr>
        <w:t>8. Validation et archivage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Fiche renseignée par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Nom, fonction, signature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Relecture / validation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IDE / IDEC / médecin / direction / qualité :</w:t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Date d’archivage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168"/>
            <w:shd w:fill="F4EDF4"/>
            <w:vAlign w:val="top"/>
          </w:tcPr>
          <w:p>
            <w:pPr>
              <w:spacing w:after="0"/>
            </w:pPr>
            <w:r/>
            <w:r>
              <w:rPr>
                <w:b/>
                <w:color w:val="17151A"/>
                <w:sz w:val="18"/>
              </w:rPr>
              <w:t>Support d’archivage</w:t>
            </w:r>
          </w:p>
        </w:tc>
        <w:tc>
          <w:tcPr>
            <w:tcW w:type="dxa" w:w="6048"/>
            <w:vAlign w:val="top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Dossier résident / logiciel métier / outil qualité / autre :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i/>
          <w:color w:val="5A545C"/>
          <w:sz w:val="16"/>
        </w:rPr>
        <w:t>Domalys by LINET — Modèle indicatif, à adapter aux procédures internes et aux obligations applicables à l’établissement.</w:t>
      </w:r>
    </w:p>
    <w:sectPr w:rsidR="00FC693F" w:rsidRPr="0006063C" w:rsidSect="00034616"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